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Lines w:val="1"/>
        <w:pBdr>
          <w:top w:color="auto" w:space="0" w:sz="0" w:val="none"/>
          <w:left w:color="auto" w:space="0" w:sz="0" w:val="none"/>
          <w:bottom w:color="auto" w:space="0" w:sz="0" w:val="none"/>
          <w:right w:color="auto" w:space="0" w:sz="0" w:val="none"/>
          <w:between w:color="auto" w:space="0" w:sz="0" w:val="none"/>
        </w:pBdr>
        <w:shd w:fill="fefefe" w:val="clear"/>
        <w:spacing w:after="300" w:line="240" w:lineRule="auto"/>
        <w:jc w:val="right"/>
        <w:rPr>
          <w:rFonts w:ascii="Times New Roman" w:cs="Times New Roman" w:eastAsia="Times New Roman" w:hAnsi="Times New Roman"/>
          <w:b w:val="1"/>
          <w:sz w:val="29"/>
          <w:szCs w:val="29"/>
        </w:rPr>
      </w:pPr>
      <w:r w:rsidDel="00000000" w:rsidR="00000000" w:rsidRPr="00000000">
        <w:rPr>
          <w:rFonts w:ascii="Times New Roman" w:cs="Times New Roman" w:eastAsia="Times New Roman" w:hAnsi="Times New Roman"/>
          <w:b w:val="1"/>
          <w:sz w:val="29"/>
          <w:szCs w:val="29"/>
          <w:rtl w:val="0"/>
        </w:rPr>
        <w:t xml:space="preserve">Басманный районный суд г. Москвы</w:t>
      </w:r>
    </w:p>
    <w:p w:rsidR="00000000" w:rsidDel="00000000" w:rsidP="00000000" w:rsidRDefault="00000000" w:rsidRPr="00000000" w14:paraId="00000002">
      <w:pPr>
        <w:keepLines w:val="1"/>
        <w:pBdr>
          <w:top w:color="auto" w:space="0" w:sz="0" w:val="none"/>
          <w:left w:color="auto" w:space="0" w:sz="0" w:val="none"/>
          <w:bottom w:color="auto" w:space="0" w:sz="0" w:val="none"/>
          <w:right w:color="auto" w:space="0" w:sz="0" w:val="none"/>
          <w:between w:color="auto" w:space="0" w:sz="0" w:val="none"/>
        </w:pBdr>
        <w:shd w:fill="fefefe" w:val="clear"/>
        <w:spacing w:after="300" w:line="240" w:lineRule="auto"/>
        <w:jc w:val="right"/>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sz w:val="29"/>
          <w:szCs w:val="29"/>
          <w:rtl w:val="0"/>
        </w:rPr>
        <w:t xml:space="preserve">107078, г. Москва, ул. Каланчёвская, д.11</w:t>
      </w:r>
    </w:p>
    <w:p w:rsidR="00000000" w:rsidDel="00000000" w:rsidP="00000000" w:rsidRDefault="00000000" w:rsidRPr="00000000" w14:paraId="00000003">
      <w:pPr>
        <w:keepLines w:val="1"/>
        <w:pBdr>
          <w:top w:color="auto" w:space="0" w:sz="0" w:val="none"/>
          <w:left w:color="auto" w:space="0" w:sz="0" w:val="none"/>
          <w:bottom w:color="auto" w:space="0" w:sz="0" w:val="none"/>
          <w:right w:color="auto" w:space="0" w:sz="0" w:val="none"/>
          <w:between w:color="auto" w:space="0" w:sz="0" w:val="none"/>
        </w:pBdr>
        <w:shd w:fill="fefefe" w:val="clear"/>
        <w:spacing w:after="300" w:line="240" w:lineRule="auto"/>
        <w:jc w:val="right"/>
        <w:rPr>
          <w:rFonts w:ascii="Times New Roman" w:cs="Times New Roman" w:eastAsia="Times New Roman" w:hAnsi="Times New Roman"/>
          <w:b w:val="1"/>
          <w:sz w:val="29"/>
          <w:szCs w:val="29"/>
        </w:rPr>
      </w:pPr>
      <w:r w:rsidDel="00000000" w:rsidR="00000000" w:rsidRPr="00000000">
        <w:rPr>
          <w:rFonts w:ascii="Times New Roman" w:cs="Times New Roman" w:eastAsia="Times New Roman" w:hAnsi="Times New Roman"/>
          <w:b w:val="1"/>
          <w:sz w:val="29"/>
          <w:szCs w:val="29"/>
          <w:rtl w:val="0"/>
        </w:rPr>
        <w:t xml:space="preserve">Истец: Волкова Альвина Владимировна</w:t>
      </w:r>
    </w:p>
    <w:p w:rsidR="00000000" w:rsidDel="00000000" w:rsidP="00000000" w:rsidRDefault="00000000" w:rsidRPr="00000000" w14:paraId="00000004">
      <w:pPr>
        <w:keepLines w:val="1"/>
        <w:pBdr>
          <w:top w:color="auto" w:space="0" w:sz="0" w:val="none"/>
          <w:left w:color="auto" w:space="0" w:sz="0" w:val="none"/>
          <w:bottom w:color="auto" w:space="0" w:sz="0" w:val="none"/>
          <w:right w:color="auto" w:space="0" w:sz="0" w:val="none"/>
          <w:between w:color="auto" w:space="0" w:sz="0" w:val="none"/>
        </w:pBdr>
        <w:shd w:fill="fefefe" w:val="clear"/>
        <w:spacing w:after="300" w:line="240" w:lineRule="auto"/>
        <w:jc w:val="right"/>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sz w:val="29"/>
          <w:szCs w:val="29"/>
          <w:rtl w:val="0"/>
        </w:rPr>
        <w:t xml:space="preserve">г. Москва, ул. Ватутина, дом 19</w:t>
      </w:r>
    </w:p>
    <w:p w:rsidR="00000000" w:rsidDel="00000000" w:rsidP="00000000" w:rsidRDefault="00000000" w:rsidRPr="00000000" w14:paraId="00000005">
      <w:pPr>
        <w:keepLines w:val="1"/>
        <w:pBdr>
          <w:top w:color="auto" w:space="0" w:sz="0" w:val="none"/>
          <w:left w:color="auto" w:space="0" w:sz="0" w:val="none"/>
          <w:bottom w:color="auto" w:space="0" w:sz="0" w:val="none"/>
          <w:right w:color="auto" w:space="0" w:sz="0" w:val="none"/>
          <w:between w:color="auto" w:space="0" w:sz="0" w:val="none"/>
        </w:pBdr>
        <w:shd w:fill="fefefe" w:val="clear"/>
        <w:spacing w:after="300" w:line="240" w:lineRule="auto"/>
        <w:jc w:val="right"/>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sz w:val="29"/>
          <w:szCs w:val="29"/>
          <w:rtl w:val="0"/>
        </w:rPr>
        <w:t xml:space="preserve">Тел. 8 981 886-28-17</w:t>
      </w:r>
    </w:p>
    <w:p w:rsidR="00000000" w:rsidDel="00000000" w:rsidP="00000000" w:rsidRDefault="00000000" w:rsidRPr="00000000" w14:paraId="00000006">
      <w:pPr>
        <w:keepLines w:val="1"/>
        <w:pBdr>
          <w:top w:color="auto" w:space="0" w:sz="0" w:val="none"/>
          <w:left w:color="auto" w:space="0" w:sz="0" w:val="none"/>
          <w:bottom w:color="auto" w:space="0" w:sz="0" w:val="none"/>
          <w:right w:color="auto" w:space="0" w:sz="0" w:val="none"/>
          <w:between w:color="auto" w:space="0" w:sz="0" w:val="none"/>
        </w:pBdr>
        <w:shd w:fill="fefefe" w:val="clear"/>
        <w:spacing w:after="300" w:line="240" w:lineRule="auto"/>
        <w:jc w:val="right"/>
        <w:rPr>
          <w:rFonts w:ascii="Times New Roman" w:cs="Times New Roman" w:eastAsia="Times New Roman" w:hAnsi="Times New Roman"/>
          <w:b w:val="1"/>
          <w:sz w:val="29"/>
          <w:szCs w:val="29"/>
        </w:rPr>
      </w:pPr>
      <w:r w:rsidDel="00000000" w:rsidR="00000000" w:rsidRPr="00000000">
        <w:rPr>
          <w:rFonts w:ascii="Times New Roman" w:cs="Times New Roman" w:eastAsia="Times New Roman" w:hAnsi="Times New Roman"/>
          <w:b w:val="1"/>
          <w:sz w:val="29"/>
          <w:szCs w:val="29"/>
          <w:rtl w:val="0"/>
        </w:rPr>
        <w:t xml:space="preserve">Ответчик: Турчаев Рустам Фаритович</w:t>
      </w:r>
    </w:p>
    <w:p w:rsidR="00000000" w:rsidDel="00000000" w:rsidP="00000000" w:rsidRDefault="00000000" w:rsidRPr="00000000" w14:paraId="00000007">
      <w:pPr>
        <w:keepLines w:val="1"/>
        <w:pBdr>
          <w:top w:color="auto" w:space="0" w:sz="0" w:val="none"/>
          <w:left w:color="auto" w:space="0" w:sz="0" w:val="none"/>
          <w:bottom w:color="auto" w:space="0" w:sz="0" w:val="none"/>
          <w:right w:color="auto" w:space="0" w:sz="0" w:val="none"/>
          <w:between w:color="auto" w:space="0" w:sz="0" w:val="none"/>
        </w:pBdr>
        <w:shd w:fill="fefefe" w:val="clear"/>
        <w:spacing w:after="300" w:line="240" w:lineRule="auto"/>
        <w:jc w:val="right"/>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sz w:val="29"/>
          <w:szCs w:val="29"/>
          <w:rtl w:val="0"/>
        </w:rPr>
        <w:t xml:space="preserve">г. Москва, ул. Зенитная д.16</w:t>
      </w:r>
    </w:p>
    <w:p w:rsidR="00000000" w:rsidDel="00000000" w:rsidP="00000000" w:rsidRDefault="00000000" w:rsidRPr="00000000" w14:paraId="00000008">
      <w:pPr>
        <w:keepLines w:val="1"/>
        <w:pBdr>
          <w:top w:color="auto" w:space="0" w:sz="0" w:val="none"/>
          <w:left w:color="auto" w:space="0" w:sz="0" w:val="none"/>
          <w:bottom w:color="auto" w:space="0" w:sz="0" w:val="none"/>
          <w:right w:color="auto" w:space="0" w:sz="0" w:val="none"/>
          <w:between w:color="auto" w:space="0" w:sz="0" w:val="none"/>
        </w:pBdr>
        <w:shd w:fill="fefefe" w:val="clear"/>
        <w:spacing w:after="300" w:line="240" w:lineRule="auto"/>
        <w:jc w:val="right"/>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sz w:val="29"/>
          <w:szCs w:val="29"/>
          <w:rtl w:val="0"/>
        </w:rPr>
        <w:t xml:space="preserve">Цена иска: 219538 рублей</w:t>
      </w:r>
    </w:p>
    <w:p w:rsidR="00000000" w:rsidDel="00000000" w:rsidP="00000000" w:rsidRDefault="00000000" w:rsidRPr="00000000" w14:paraId="00000009">
      <w:pPr>
        <w:keepLines w:val="1"/>
        <w:pBdr>
          <w:top w:color="auto" w:space="0" w:sz="0" w:val="none"/>
          <w:left w:color="auto" w:space="0" w:sz="0" w:val="none"/>
          <w:bottom w:color="auto" w:space="0" w:sz="0" w:val="none"/>
          <w:right w:color="auto" w:space="0" w:sz="0" w:val="none"/>
          <w:between w:color="auto" w:space="0" w:sz="0" w:val="none"/>
        </w:pBdr>
        <w:shd w:fill="fefefe" w:val="clear"/>
        <w:spacing w:after="300" w:line="240" w:lineRule="auto"/>
        <w:jc w:val="right"/>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sz w:val="29"/>
          <w:szCs w:val="29"/>
          <w:rtl w:val="0"/>
        </w:rPr>
        <w:t xml:space="preserve">Госпошлина: 5 395 рублей</w:t>
      </w:r>
    </w:p>
    <w:p w:rsidR="00000000" w:rsidDel="00000000" w:rsidP="00000000" w:rsidRDefault="00000000" w:rsidRPr="00000000" w14:paraId="0000000A">
      <w:pPr>
        <w:keepLines w:val="1"/>
        <w:pBdr>
          <w:top w:color="auto" w:space="0" w:sz="0" w:val="none"/>
          <w:left w:color="auto" w:space="0" w:sz="0" w:val="none"/>
          <w:bottom w:color="auto" w:space="0" w:sz="0" w:val="none"/>
          <w:right w:color="auto" w:space="0" w:sz="0" w:val="none"/>
          <w:between w:color="auto" w:space="0" w:sz="0" w:val="none"/>
        </w:pBdr>
        <w:shd w:fill="fefefe" w:val="clear"/>
        <w:spacing w:after="300" w:line="240" w:lineRule="auto"/>
        <w:jc w:val="center"/>
        <w:rPr>
          <w:rFonts w:ascii="Times New Roman" w:cs="Times New Roman" w:eastAsia="Times New Roman" w:hAnsi="Times New Roman"/>
          <w:b w:val="1"/>
          <w:sz w:val="29"/>
          <w:szCs w:val="29"/>
        </w:rPr>
      </w:pPr>
      <w:r w:rsidDel="00000000" w:rsidR="00000000" w:rsidRPr="00000000">
        <w:rPr>
          <w:rFonts w:ascii="Times New Roman" w:cs="Times New Roman" w:eastAsia="Times New Roman" w:hAnsi="Times New Roman"/>
          <w:b w:val="1"/>
          <w:sz w:val="29"/>
          <w:szCs w:val="29"/>
          <w:rtl w:val="0"/>
        </w:rPr>
        <w:t xml:space="preserve">Исковое заявление о взыскании денежных средств по расписке</w:t>
      </w:r>
    </w:p>
    <w:p w:rsidR="00000000" w:rsidDel="00000000" w:rsidP="00000000" w:rsidRDefault="00000000" w:rsidRPr="00000000" w14:paraId="0000000B">
      <w:pPr>
        <w:keepLines w:val="1"/>
        <w:pBdr>
          <w:top w:color="auto" w:space="0" w:sz="0" w:val="none"/>
          <w:left w:color="auto" w:space="0" w:sz="0" w:val="none"/>
          <w:bottom w:color="auto" w:space="0" w:sz="0" w:val="none"/>
          <w:right w:color="auto" w:space="0" w:sz="0" w:val="none"/>
          <w:between w:color="auto" w:space="0" w:sz="0" w:val="none"/>
        </w:pBdr>
        <w:shd w:fill="fefefe" w:val="clear"/>
        <w:spacing w:after="300" w:line="240" w:lineRule="auto"/>
        <w:ind w:firstLine="566.9291338582675"/>
        <w:jc w:val="both"/>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sz w:val="29"/>
          <w:szCs w:val="29"/>
          <w:rtl w:val="0"/>
        </w:rPr>
        <w:t xml:space="preserve">26 октября 2019 года Волкова Альвина Владимировна (истец) заняла Турчаеву Рустаму Фаритовичу (ответчик) деньги в сумме 150 000 руб. на 2 месяца, что подтверждается документально. Расписка о получении денежных средств в долг была составлена в простой письменной форме и подписана Волковой А. В. и Турчаевым Р. Ф. Дата составления расписки 26.10.2019 г.</w:t>
      </w:r>
    </w:p>
    <w:p w:rsidR="00000000" w:rsidDel="00000000" w:rsidP="00000000" w:rsidRDefault="00000000" w:rsidRPr="00000000" w14:paraId="0000000C">
      <w:pPr>
        <w:keepLines w:val="1"/>
        <w:pBdr>
          <w:top w:color="auto" w:space="0" w:sz="0" w:val="none"/>
          <w:left w:color="auto" w:space="0" w:sz="0" w:val="none"/>
          <w:bottom w:color="auto" w:space="0" w:sz="0" w:val="none"/>
          <w:right w:color="auto" w:space="0" w:sz="0" w:val="none"/>
          <w:between w:color="auto" w:space="0" w:sz="0" w:val="none"/>
        </w:pBdr>
        <w:shd w:fill="fefefe" w:val="clear"/>
        <w:spacing w:after="300" w:line="240" w:lineRule="auto"/>
        <w:ind w:firstLine="566.9291338582675"/>
        <w:jc w:val="both"/>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sz w:val="29"/>
          <w:szCs w:val="29"/>
          <w:rtl w:val="0"/>
        </w:rPr>
        <w:t xml:space="preserve">Согласно расписке ответчик брал деньга на два месяца и обязался вернуть 210 000 рублей, т. е. 26 декабря 2019 года.</w:t>
      </w:r>
    </w:p>
    <w:p w:rsidR="00000000" w:rsidDel="00000000" w:rsidP="00000000" w:rsidRDefault="00000000" w:rsidRPr="00000000" w14:paraId="0000000D">
      <w:pPr>
        <w:keepLines w:val="1"/>
        <w:pBdr>
          <w:top w:color="auto" w:space="0" w:sz="0" w:val="none"/>
          <w:left w:color="auto" w:space="0" w:sz="0" w:val="none"/>
          <w:bottom w:color="auto" w:space="0" w:sz="0" w:val="none"/>
          <w:right w:color="auto" w:space="0" w:sz="0" w:val="none"/>
          <w:between w:color="auto" w:space="0" w:sz="0" w:val="none"/>
        </w:pBdr>
        <w:shd w:fill="fefefe" w:val="clear"/>
        <w:spacing w:after="300" w:line="240" w:lineRule="auto"/>
        <w:ind w:firstLine="566.9291338582675"/>
        <w:jc w:val="both"/>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sz w:val="29"/>
          <w:szCs w:val="29"/>
          <w:rtl w:val="0"/>
        </w:rPr>
        <w:t xml:space="preserve">Таким образом, период просрочки по возврату долга наступает с 27 декабря 2019 года. Однако в установленный срок, ответчик деньги не вернул.</w:t>
      </w:r>
    </w:p>
    <w:p w:rsidR="00000000" w:rsidDel="00000000" w:rsidP="00000000" w:rsidRDefault="00000000" w:rsidRPr="00000000" w14:paraId="0000000E">
      <w:pPr>
        <w:keepLines w:val="1"/>
        <w:pBdr>
          <w:top w:color="auto" w:space="0" w:sz="0" w:val="none"/>
          <w:left w:color="auto" w:space="0" w:sz="0" w:val="none"/>
          <w:bottom w:color="auto" w:space="0" w:sz="0" w:val="none"/>
          <w:right w:color="auto" w:space="0" w:sz="0" w:val="none"/>
          <w:between w:color="auto" w:space="0" w:sz="0" w:val="none"/>
        </w:pBdr>
        <w:shd w:fill="fefefe" w:val="clear"/>
        <w:spacing w:after="300" w:line="240" w:lineRule="auto"/>
        <w:ind w:firstLine="566.9291338582675"/>
        <w:jc w:val="both"/>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sz w:val="29"/>
          <w:szCs w:val="29"/>
          <w:rtl w:val="0"/>
        </w:rPr>
        <w:t xml:space="preserve">Истцом была приняты меры досудебного урегулирования спора, а именно 23.06.2020 года на адрес ответчика была направлена претензия, которая он проигнорировал.</w:t>
      </w:r>
    </w:p>
    <w:p w:rsidR="00000000" w:rsidDel="00000000" w:rsidP="00000000" w:rsidRDefault="00000000" w:rsidRPr="00000000" w14:paraId="0000000F">
      <w:pPr>
        <w:keepLines w:val="1"/>
        <w:pBdr>
          <w:top w:color="auto" w:space="0" w:sz="0" w:val="none"/>
          <w:left w:color="auto" w:space="0" w:sz="0" w:val="none"/>
          <w:bottom w:color="auto" w:space="0" w:sz="0" w:val="none"/>
          <w:right w:color="auto" w:space="0" w:sz="0" w:val="none"/>
          <w:between w:color="auto" w:space="0" w:sz="0" w:val="none"/>
        </w:pBdr>
        <w:shd w:fill="fefefe" w:val="clear"/>
        <w:spacing w:after="300" w:line="240" w:lineRule="auto"/>
        <w:ind w:firstLine="566.9291338582675"/>
        <w:jc w:val="both"/>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sz w:val="29"/>
          <w:szCs w:val="29"/>
          <w:rtl w:val="0"/>
        </w:rPr>
        <w:t xml:space="preserve">В соответствии со ст. 309 ГК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000000" w:rsidDel="00000000" w:rsidP="00000000" w:rsidRDefault="00000000" w:rsidRPr="00000000" w14:paraId="00000010">
      <w:pPr>
        <w:keepLines w:val="1"/>
        <w:pBdr>
          <w:top w:color="auto" w:space="0" w:sz="0" w:val="none"/>
          <w:left w:color="auto" w:space="0" w:sz="0" w:val="none"/>
          <w:bottom w:color="auto" w:space="0" w:sz="0" w:val="none"/>
          <w:right w:color="auto" w:space="0" w:sz="0" w:val="none"/>
          <w:between w:color="auto" w:space="0" w:sz="0" w:val="none"/>
        </w:pBdr>
        <w:shd w:fill="fefefe" w:val="clear"/>
        <w:spacing w:after="300" w:line="240" w:lineRule="auto"/>
        <w:ind w:firstLine="566.9291338582675"/>
        <w:jc w:val="both"/>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sz w:val="29"/>
          <w:szCs w:val="29"/>
          <w:rtl w:val="0"/>
        </w:rPr>
        <w:t xml:space="preserve">Односторонний отказ от исполнения обязательства и одностороннее изменение его условий не допускаются (статья 310 ГК РФ).</w:t>
      </w:r>
    </w:p>
    <w:p w:rsidR="00000000" w:rsidDel="00000000" w:rsidP="00000000" w:rsidRDefault="00000000" w:rsidRPr="00000000" w14:paraId="00000011">
      <w:pPr>
        <w:keepLines w:val="1"/>
        <w:pBdr>
          <w:top w:color="auto" w:space="0" w:sz="0" w:val="none"/>
          <w:left w:color="auto" w:space="0" w:sz="0" w:val="none"/>
          <w:bottom w:color="auto" w:space="0" w:sz="0" w:val="none"/>
          <w:right w:color="auto" w:space="0" w:sz="0" w:val="none"/>
          <w:between w:color="auto" w:space="0" w:sz="0" w:val="none"/>
        </w:pBdr>
        <w:shd w:fill="fefefe" w:val="clear"/>
        <w:spacing w:after="300" w:line="240" w:lineRule="auto"/>
        <w:ind w:firstLine="566.9291338582675"/>
        <w:jc w:val="both"/>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sz w:val="29"/>
          <w:szCs w:val="29"/>
          <w:rtl w:val="0"/>
        </w:rPr>
        <w:t xml:space="preserve">В силу пункта 1 статьи 307 ГК РФ, должник обязан совершить в пользу кредитора определенное действие, в частности уплатить деньги, а кредитор имеет право требовать от должника исполнения его обязанности.</w:t>
      </w:r>
    </w:p>
    <w:p w:rsidR="00000000" w:rsidDel="00000000" w:rsidP="00000000" w:rsidRDefault="00000000" w:rsidRPr="00000000" w14:paraId="00000012">
      <w:pPr>
        <w:keepLines w:val="1"/>
        <w:pBdr>
          <w:top w:color="auto" w:space="0" w:sz="0" w:val="none"/>
          <w:left w:color="auto" w:space="0" w:sz="0" w:val="none"/>
          <w:bottom w:color="auto" w:space="0" w:sz="0" w:val="none"/>
          <w:right w:color="auto" w:space="0" w:sz="0" w:val="none"/>
          <w:between w:color="auto" w:space="0" w:sz="0" w:val="none"/>
        </w:pBdr>
        <w:shd w:fill="fefefe" w:val="clear"/>
        <w:spacing w:after="300" w:line="240" w:lineRule="auto"/>
        <w:ind w:firstLine="566.9291338582675"/>
        <w:jc w:val="both"/>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sz w:val="29"/>
          <w:szCs w:val="29"/>
          <w:rtl w:val="0"/>
        </w:rPr>
        <w:t xml:space="preserve">В соответствии с пунктом 1 статьи 810 ГК РФ, заемщик обязан возвратить займодавцу полученные деньги в определенные сторонами сроки.</w:t>
      </w:r>
    </w:p>
    <w:p w:rsidR="00000000" w:rsidDel="00000000" w:rsidP="00000000" w:rsidRDefault="00000000" w:rsidRPr="00000000" w14:paraId="00000013">
      <w:pPr>
        <w:keepLines w:val="1"/>
        <w:pBdr>
          <w:top w:color="auto" w:space="0" w:sz="0" w:val="none"/>
          <w:left w:color="auto" w:space="0" w:sz="0" w:val="none"/>
          <w:bottom w:color="auto" w:space="0" w:sz="0" w:val="none"/>
          <w:right w:color="auto" w:space="0" w:sz="0" w:val="none"/>
          <w:between w:color="auto" w:space="0" w:sz="0" w:val="none"/>
        </w:pBdr>
        <w:shd w:fill="fefefe" w:val="clear"/>
        <w:spacing w:after="300" w:line="240" w:lineRule="auto"/>
        <w:ind w:firstLine="566.9291338582675"/>
        <w:jc w:val="both"/>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sz w:val="29"/>
          <w:szCs w:val="29"/>
          <w:rtl w:val="0"/>
        </w:rPr>
        <w:t xml:space="preserve">Согласно положений пункта 2 статьи 808 ГК РФ, в подтверждение договора займа может быть представлена расписка заемщика, удостоверяющая передачу ему займодавцем определенной денежной суммы.</w:t>
      </w:r>
    </w:p>
    <w:p w:rsidR="00000000" w:rsidDel="00000000" w:rsidP="00000000" w:rsidRDefault="00000000" w:rsidRPr="00000000" w14:paraId="00000014">
      <w:pPr>
        <w:keepLines w:val="1"/>
        <w:pBdr>
          <w:top w:color="auto" w:space="0" w:sz="0" w:val="none"/>
          <w:left w:color="auto" w:space="0" w:sz="0" w:val="none"/>
          <w:bottom w:color="auto" w:space="0" w:sz="0" w:val="none"/>
          <w:right w:color="auto" w:space="0" w:sz="0" w:val="none"/>
          <w:between w:color="auto" w:space="0" w:sz="0" w:val="none"/>
        </w:pBdr>
        <w:shd w:fill="fefefe" w:val="clear"/>
        <w:spacing w:after="300" w:line="240" w:lineRule="auto"/>
        <w:ind w:firstLine="566.9291338582675"/>
        <w:jc w:val="both"/>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sz w:val="29"/>
          <w:szCs w:val="29"/>
          <w:rtl w:val="0"/>
        </w:rPr>
        <w:t xml:space="preserve">Таким образом, с ответчика должна быть взыскана сумма задолженности в размере 210 000 рублей.</w:t>
      </w:r>
    </w:p>
    <w:p w:rsidR="00000000" w:rsidDel="00000000" w:rsidP="00000000" w:rsidRDefault="00000000" w:rsidRPr="00000000" w14:paraId="00000015">
      <w:pPr>
        <w:keepLines w:val="1"/>
        <w:pBdr>
          <w:top w:color="auto" w:space="0" w:sz="0" w:val="none"/>
          <w:left w:color="auto" w:space="0" w:sz="0" w:val="none"/>
          <w:bottom w:color="auto" w:space="0" w:sz="0" w:val="none"/>
          <w:right w:color="auto" w:space="0" w:sz="0" w:val="none"/>
          <w:between w:color="auto" w:space="0" w:sz="0" w:val="none"/>
        </w:pBdr>
        <w:shd w:fill="fefefe" w:val="clear"/>
        <w:spacing w:after="300" w:line="240" w:lineRule="auto"/>
        <w:ind w:firstLine="566.9291338582675"/>
        <w:jc w:val="both"/>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sz w:val="29"/>
          <w:szCs w:val="29"/>
          <w:rtl w:val="0"/>
        </w:rPr>
        <w:t xml:space="preserve">В соответствии с п.1 ст. 811 ГК РФ, в случаях, когда заемщик не возвращает в срок сумму займа, на нее подлежат уплате проценты в размере, предусмотренном п. 1 ст. 395 ГК РФ, со дня, когда долг должен был быть возвращен, независимо от уплаты процентов, предусмотренных п. 1 ст. 809 ГК РФ.</w:t>
      </w:r>
    </w:p>
    <w:p w:rsidR="00000000" w:rsidDel="00000000" w:rsidP="00000000" w:rsidRDefault="00000000" w:rsidRPr="00000000" w14:paraId="00000016">
      <w:pPr>
        <w:keepLines w:val="1"/>
        <w:pBdr>
          <w:top w:color="auto" w:space="0" w:sz="0" w:val="none"/>
          <w:left w:color="auto" w:space="0" w:sz="0" w:val="none"/>
          <w:bottom w:color="auto" w:space="0" w:sz="0" w:val="none"/>
          <w:right w:color="auto" w:space="0" w:sz="0" w:val="none"/>
          <w:between w:color="auto" w:space="0" w:sz="0" w:val="none"/>
        </w:pBdr>
        <w:shd w:fill="fefefe" w:val="clear"/>
        <w:spacing w:after="300" w:line="240" w:lineRule="auto"/>
        <w:ind w:firstLine="566.9291338582675"/>
        <w:jc w:val="both"/>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sz w:val="29"/>
          <w:szCs w:val="29"/>
          <w:rtl w:val="0"/>
        </w:rPr>
        <w:t xml:space="preserve">Ответчик должен был </w:t>
      </w:r>
      <w:hyperlink r:id="rId6">
        <w:r w:rsidDel="00000000" w:rsidR="00000000" w:rsidRPr="00000000">
          <w:rPr>
            <w:rFonts w:ascii="Times New Roman" w:cs="Times New Roman" w:eastAsia="Times New Roman" w:hAnsi="Times New Roman"/>
            <w:sz w:val="29"/>
            <w:szCs w:val="29"/>
            <w:rtl w:val="0"/>
          </w:rPr>
          <w:t xml:space="preserve">вернуть деньги</w:t>
        </w:r>
      </w:hyperlink>
      <w:r w:rsidDel="00000000" w:rsidR="00000000" w:rsidRPr="00000000">
        <w:rPr>
          <w:rFonts w:ascii="Times New Roman" w:cs="Times New Roman" w:eastAsia="Times New Roman" w:hAnsi="Times New Roman"/>
          <w:sz w:val="29"/>
          <w:szCs w:val="29"/>
          <w:rtl w:val="0"/>
        </w:rPr>
        <w:t xml:space="preserve"> в сумме 210 000 рублей 26 декабря 2019 года. Соответственно расчет процентов за пользование денежными средствами следует производит с 27 декабря 2019 г.</w:t>
      </w:r>
    </w:p>
    <w:p w:rsidR="00000000" w:rsidDel="00000000" w:rsidP="00000000" w:rsidRDefault="00000000" w:rsidRPr="00000000" w14:paraId="00000017">
      <w:pPr>
        <w:keepLines w:val="1"/>
        <w:pBdr>
          <w:top w:color="auto" w:space="0" w:sz="0" w:val="none"/>
          <w:left w:color="auto" w:space="0" w:sz="0" w:val="none"/>
          <w:bottom w:color="auto" w:space="0" w:sz="0" w:val="none"/>
          <w:right w:color="auto" w:space="0" w:sz="0" w:val="none"/>
          <w:between w:color="auto" w:space="0" w:sz="0" w:val="none"/>
        </w:pBdr>
        <w:shd w:fill="fefefe" w:val="clear"/>
        <w:spacing w:after="300" w:line="240" w:lineRule="auto"/>
        <w:ind w:firstLine="566.9291338582675"/>
        <w:jc w:val="both"/>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sz w:val="29"/>
          <w:szCs w:val="29"/>
          <w:rtl w:val="0"/>
        </w:rPr>
        <w:t xml:space="preserve">Период просрочки с 27 декабря 2019 года по 14.06.2020(на момент обращения с иском в суд) года составляет 170 дней.</w:t>
      </w:r>
    </w:p>
    <w:p w:rsidR="00000000" w:rsidDel="00000000" w:rsidP="00000000" w:rsidRDefault="00000000" w:rsidRPr="00000000" w14:paraId="00000018">
      <w:pPr>
        <w:keepLines w:val="1"/>
        <w:pBdr>
          <w:top w:color="auto" w:space="0" w:sz="0" w:val="none"/>
          <w:left w:color="auto" w:space="0" w:sz="0" w:val="none"/>
          <w:bottom w:color="auto" w:space="0" w:sz="0" w:val="none"/>
          <w:right w:color="auto" w:space="0" w:sz="0" w:val="none"/>
          <w:between w:color="auto" w:space="0" w:sz="0" w:val="none"/>
        </w:pBdr>
        <w:shd w:fill="fefefe" w:val="clear"/>
        <w:spacing w:after="300" w:line="240" w:lineRule="auto"/>
        <w:ind w:firstLine="566.9291338582675"/>
        <w:jc w:val="both"/>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sz w:val="29"/>
          <w:szCs w:val="29"/>
          <w:rtl w:val="0"/>
        </w:rPr>
        <w:t xml:space="preserve">Сумма процентов: 9 538 руб. 39 коп. (см. Приложение. Расчет процентов за пользование денежными средствами).</w:t>
      </w:r>
    </w:p>
    <w:p w:rsidR="00000000" w:rsidDel="00000000" w:rsidP="00000000" w:rsidRDefault="00000000" w:rsidRPr="00000000" w14:paraId="00000019">
      <w:pPr>
        <w:keepLines w:val="1"/>
        <w:pBdr>
          <w:top w:color="auto" w:space="0" w:sz="0" w:val="none"/>
          <w:left w:color="auto" w:space="0" w:sz="0" w:val="none"/>
          <w:bottom w:color="auto" w:space="0" w:sz="0" w:val="none"/>
          <w:right w:color="auto" w:space="0" w:sz="0" w:val="none"/>
          <w:between w:color="auto" w:space="0" w:sz="0" w:val="none"/>
        </w:pBdr>
        <w:shd w:fill="fefefe" w:val="clear"/>
        <w:spacing w:after="300" w:line="240" w:lineRule="auto"/>
        <w:ind w:firstLine="566.9291338582675"/>
        <w:jc w:val="both"/>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sz w:val="29"/>
          <w:szCs w:val="29"/>
          <w:rtl w:val="0"/>
        </w:rPr>
        <w:t xml:space="preserve">Таким образом, с ответчика должны быть взысканы проценты за пользование денежными средствами в сумме 9 538 руб. 39 коп.</w:t>
      </w:r>
    </w:p>
    <w:p w:rsidR="00000000" w:rsidDel="00000000" w:rsidP="00000000" w:rsidRDefault="00000000" w:rsidRPr="00000000" w14:paraId="0000001A">
      <w:pPr>
        <w:keepLines w:val="1"/>
        <w:pBdr>
          <w:top w:color="auto" w:space="0" w:sz="0" w:val="none"/>
          <w:left w:color="auto" w:space="0" w:sz="0" w:val="none"/>
          <w:bottom w:color="auto" w:space="0" w:sz="0" w:val="none"/>
          <w:right w:color="auto" w:space="0" w:sz="0" w:val="none"/>
          <w:between w:color="auto" w:space="0" w:sz="0" w:val="none"/>
        </w:pBdr>
        <w:shd w:fill="fefefe" w:val="clear"/>
        <w:spacing w:after="300" w:line="240" w:lineRule="auto"/>
        <w:ind w:firstLine="566.9291338582675"/>
        <w:jc w:val="both"/>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sz w:val="29"/>
          <w:szCs w:val="29"/>
          <w:rtl w:val="0"/>
        </w:rPr>
        <w:t xml:space="preserve">В соответствии с п. 3 ст. 395 ГК РФ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000000" w:rsidDel="00000000" w:rsidP="00000000" w:rsidRDefault="00000000" w:rsidRPr="00000000" w14:paraId="0000001B">
      <w:pPr>
        <w:keepLines w:val="1"/>
        <w:pBdr>
          <w:top w:color="auto" w:space="0" w:sz="0" w:val="none"/>
          <w:left w:color="auto" w:space="0" w:sz="0" w:val="none"/>
          <w:bottom w:color="auto" w:space="0" w:sz="0" w:val="none"/>
          <w:right w:color="auto" w:space="0" w:sz="0" w:val="none"/>
          <w:between w:color="auto" w:space="0" w:sz="0" w:val="none"/>
        </w:pBdr>
        <w:shd w:fill="fefefe" w:val="clear"/>
        <w:spacing w:after="300" w:line="240" w:lineRule="auto"/>
        <w:ind w:firstLine="566.9291338582675"/>
        <w:jc w:val="both"/>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sz w:val="29"/>
          <w:szCs w:val="29"/>
          <w:rtl w:val="0"/>
        </w:rPr>
        <w:t xml:space="preserve">Таким образом, с ответчика подлежат взысканию проценты за пользование денежными средствами с суммы основного долга в размере 210 000 рублей, за период с 15.06.2020 года по день фактической оплаты.</w:t>
      </w:r>
    </w:p>
    <w:p w:rsidR="00000000" w:rsidDel="00000000" w:rsidP="00000000" w:rsidRDefault="00000000" w:rsidRPr="00000000" w14:paraId="0000001C">
      <w:pPr>
        <w:keepLines w:val="1"/>
        <w:pBdr>
          <w:top w:color="auto" w:space="0" w:sz="0" w:val="none"/>
          <w:left w:color="auto" w:space="0" w:sz="0" w:val="none"/>
          <w:bottom w:color="auto" w:space="0" w:sz="0" w:val="none"/>
          <w:right w:color="auto" w:space="0" w:sz="0" w:val="none"/>
          <w:between w:color="auto" w:space="0" w:sz="0" w:val="none"/>
        </w:pBdr>
        <w:shd w:fill="fefefe" w:val="clear"/>
        <w:spacing w:after="300" w:line="240" w:lineRule="auto"/>
        <w:ind w:firstLine="566.9291338582675"/>
        <w:jc w:val="both"/>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sz w:val="29"/>
          <w:szCs w:val="29"/>
          <w:rtl w:val="0"/>
        </w:rPr>
        <w:t xml:space="preserve">В связи с тем, что ответчик на контакт не выходит истец вынужден обратится в суд.</w:t>
      </w:r>
    </w:p>
    <w:p w:rsidR="00000000" w:rsidDel="00000000" w:rsidP="00000000" w:rsidRDefault="00000000" w:rsidRPr="00000000" w14:paraId="0000001D">
      <w:pPr>
        <w:keepLines w:val="1"/>
        <w:pBdr>
          <w:top w:color="auto" w:space="0" w:sz="0" w:val="none"/>
          <w:left w:color="auto" w:space="0" w:sz="0" w:val="none"/>
          <w:bottom w:color="auto" w:space="0" w:sz="0" w:val="none"/>
          <w:right w:color="auto" w:space="0" w:sz="0" w:val="none"/>
          <w:between w:color="auto" w:space="0" w:sz="0" w:val="none"/>
        </w:pBdr>
        <w:shd w:fill="fefefe" w:val="clear"/>
        <w:spacing w:after="300" w:line="240" w:lineRule="auto"/>
        <w:ind w:firstLine="566.9291338582675"/>
        <w:jc w:val="both"/>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sz w:val="29"/>
          <w:szCs w:val="29"/>
          <w:rtl w:val="0"/>
        </w:rPr>
        <w:t xml:space="preserve">На основании изложенного прошу суд:</w:t>
      </w:r>
    </w:p>
    <w:p w:rsidR="00000000" w:rsidDel="00000000" w:rsidP="00000000" w:rsidRDefault="00000000" w:rsidRPr="00000000" w14:paraId="0000001E">
      <w:pPr>
        <w:keepLines w:val="1"/>
        <w:pBdr>
          <w:top w:color="auto" w:space="0" w:sz="0" w:val="none"/>
          <w:left w:color="auto" w:space="0" w:sz="0" w:val="none"/>
          <w:bottom w:color="auto" w:space="0" w:sz="0" w:val="none"/>
          <w:right w:color="auto" w:space="0" w:sz="0" w:val="none"/>
          <w:between w:color="auto" w:space="0" w:sz="0" w:val="none"/>
        </w:pBdr>
        <w:shd w:fill="fefefe" w:val="clear"/>
        <w:spacing w:after="300" w:line="240" w:lineRule="auto"/>
        <w:ind w:firstLine="566.9291338582675"/>
        <w:jc w:val="both"/>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sz w:val="29"/>
          <w:szCs w:val="29"/>
          <w:rtl w:val="0"/>
        </w:rPr>
        <w:t xml:space="preserve">1) Взыскать с Турчаева Рустама Фаритовича в пользу Волковой Альвины Владимировны, долг в размере 210 000 рублей.</w:t>
      </w:r>
    </w:p>
    <w:p w:rsidR="00000000" w:rsidDel="00000000" w:rsidP="00000000" w:rsidRDefault="00000000" w:rsidRPr="00000000" w14:paraId="0000001F">
      <w:pPr>
        <w:keepLines w:val="1"/>
        <w:pBdr>
          <w:top w:color="auto" w:space="0" w:sz="0" w:val="none"/>
          <w:left w:color="auto" w:space="0" w:sz="0" w:val="none"/>
          <w:bottom w:color="auto" w:space="0" w:sz="0" w:val="none"/>
          <w:right w:color="auto" w:space="0" w:sz="0" w:val="none"/>
          <w:between w:color="auto" w:space="0" w:sz="0" w:val="none"/>
        </w:pBdr>
        <w:shd w:fill="fefefe" w:val="clear"/>
        <w:spacing w:after="300" w:line="240" w:lineRule="auto"/>
        <w:ind w:firstLine="566.9291338582675"/>
        <w:jc w:val="both"/>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sz w:val="29"/>
          <w:szCs w:val="29"/>
          <w:rtl w:val="0"/>
        </w:rPr>
        <w:t xml:space="preserve">2) Взыскать с Турчаева Рустама Фаритовича в Волковой Альвины Владимировны, проценты за пользование денежными средствами в сумме 9 538 руб. 39 коп.</w:t>
      </w:r>
    </w:p>
    <w:p w:rsidR="00000000" w:rsidDel="00000000" w:rsidP="00000000" w:rsidRDefault="00000000" w:rsidRPr="00000000" w14:paraId="00000020">
      <w:pPr>
        <w:keepLines w:val="1"/>
        <w:pBdr>
          <w:top w:color="auto" w:space="0" w:sz="0" w:val="none"/>
          <w:left w:color="auto" w:space="0" w:sz="0" w:val="none"/>
          <w:bottom w:color="auto" w:space="0" w:sz="0" w:val="none"/>
          <w:right w:color="auto" w:space="0" w:sz="0" w:val="none"/>
          <w:between w:color="auto" w:space="0" w:sz="0" w:val="none"/>
        </w:pBdr>
        <w:shd w:fill="fefefe" w:val="clear"/>
        <w:spacing w:after="300" w:line="240" w:lineRule="auto"/>
        <w:ind w:firstLine="566.9291338582675"/>
        <w:jc w:val="both"/>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sz w:val="29"/>
          <w:szCs w:val="29"/>
          <w:rtl w:val="0"/>
        </w:rPr>
        <w:t xml:space="preserve">3) Взыскать с Турчаева Рустама Фаритовича в пользу Волковой Альвины Владимировны, проценты за пользование денежными средствами с суммы основного долга в размере 210 000 рублей за период: с момента обращения с иском в суд – 15 июня 2020 года по день фактической оплаты долга.</w:t>
      </w:r>
    </w:p>
    <w:p w:rsidR="00000000" w:rsidDel="00000000" w:rsidP="00000000" w:rsidRDefault="00000000" w:rsidRPr="00000000" w14:paraId="00000021">
      <w:pPr>
        <w:keepLines w:val="1"/>
        <w:pBdr>
          <w:top w:color="auto" w:space="0" w:sz="0" w:val="none"/>
          <w:left w:color="auto" w:space="0" w:sz="0" w:val="none"/>
          <w:bottom w:color="auto" w:space="0" w:sz="0" w:val="none"/>
          <w:right w:color="auto" w:space="0" w:sz="0" w:val="none"/>
          <w:between w:color="auto" w:space="0" w:sz="0" w:val="none"/>
        </w:pBdr>
        <w:shd w:fill="fefefe" w:val="clear"/>
        <w:spacing w:after="300" w:line="240" w:lineRule="auto"/>
        <w:ind w:firstLine="566.9291338582675"/>
        <w:jc w:val="both"/>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sz w:val="29"/>
          <w:szCs w:val="29"/>
          <w:rtl w:val="0"/>
        </w:rPr>
        <w:t xml:space="preserve">4) Взыскать с Турчаева Рустама Фаритовича в пользу Волковой Альвины Владимировны госпошлину в размере 5 395 рублей.</w:t>
      </w:r>
    </w:p>
    <w:p w:rsidR="00000000" w:rsidDel="00000000" w:rsidP="00000000" w:rsidRDefault="00000000" w:rsidRPr="00000000" w14:paraId="00000022">
      <w:pPr>
        <w:keepLines w:val="1"/>
        <w:pBdr>
          <w:top w:color="auto" w:space="0" w:sz="0" w:val="none"/>
          <w:left w:color="auto" w:space="0" w:sz="0" w:val="none"/>
          <w:bottom w:color="auto" w:space="0" w:sz="0" w:val="none"/>
          <w:right w:color="auto" w:space="0" w:sz="0" w:val="none"/>
          <w:between w:color="auto" w:space="0" w:sz="0" w:val="none"/>
        </w:pBdr>
        <w:shd w:fill="fefefe" w:val="clear"/>
        <w:spacing w:after="300" w:line="240" w:lineRule="auto"/>
        <w:ind w:firstLine="566.9291338582675"/>
        <w:jc w:val="both"/>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sz w:val="29"/>
          <w:szCs w:val="29"/>
          <w:rtl w:val="0"/>
        </w:rPr>
        <w:t xml:space="preserve">Приложения:</w:t>
      </w:r>
    </w:p>
    <w:p w:rsidR="00000000" w:rsidDel="00000000" w:rsidP="00000000" w:rsidRDefault="00000000" w:rsidRPr="00000000" w14:paraId="00000023">
      <w:pPr>
        <w:keepLines w:val="1"/>
        <w:pBdr>
          <w:top w:color="auto" w:space="0" w:sz="0" w:val="none"/>
          <w:left w:color="auto" w:space="0" w:sz="0" w:val="none"/>
          <w:bottom w:color="auto" w:space="0" w:sz="0" w:val="none"/>
          <w:right w:color="auto" w:space="0" w:sz="0" w:val="none"/>
          <w:between w:color="auto" w:space="0" w:sz="0" w:val="none"/>
        </w:pBdr>
        <w:shd w:fill="fefefe" w:val="clear"/>
        <w:spacing w:after="300" w:line="240" w:lineRule="auto"/>
        <w:ind w:firstLine="566.9291338582675"/>
        <w:jc w:val="both"/>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sz w:val="29"/>
          <w:szCs w:val="29"/>
          <w:rtl w:val="0"/>
        </w:rPr>
        <w:t xml:space="preserve">1) Квитанция об уплате государственной пошлины.</w:t>
      </w:r>
    </w:p>
    <w:p w:rsidR="00000000" w:rsidDel="00000000" w:rsidP="00000000" w:rsidRDefault="00000000" w:rsidRPr="00000000" w14:paraId="00000024">
      <w:pPr>
        <w:keepLines w:val="1"/>
        <w:pBdr>
          <w:top w:color="auto" w:space="0" w:sz="0" w:val="none"/>
          <w:left w:color="auto" w:space="0" w:sz="0" w:val="none"/>
          <w:bottom w:color="auto" w:space="0" w:sz="0" w:val="none"/>
          <w:right w:color="auto" w:space="0" w:sz="0" w:val="none"/>
          <w:between w:color="auto" w:space="0" w:sz="0" w:val="none"/>
        </w:pBdr>
        <w:shd w:fill="fefefe" w:val="clear"/>
        <w:spacing w:after="300" w:line="240" w:lineRule="auto"/>
        <w:ind w:firstLine="566.9291338582675"/>
        <w:jc w:val="both"/>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sz w:val="29"/>
          <w:szCs w:val="29"/>
          <w:rtl w:val="0"/>
        </w:rPr>
        <w:t xml:space="preserve">2) Копия расписки на 210 000 рублей от 26.12.2019 г.</w:t>
      </w:r>
    </w:p>
    <w:p w:rsidR="00000000" w:rsidDel="00000000" w:rsidP="00000000" w:rsidRDefault="00000000" w:rsidRPr="00000000" w14:paraId="00000025">
      <w:pPr>
        <w:keepLines w:val="1"/>
        <w:pBdr>
          <w:top w:color="auto" w:space="0" w:sz="0" w:val="none"/>
          <w:left w:color="auto" w:space="0" w:sz="0" w:val="none"/>
          <w:bottom w:color="auto" w:space="0" w:sz="0" w:val="none"/>
          <w:right w:color="auto" w:space="0" w:sz="0" w:val="none"/>
          <w:between w:color="auto" w:space="0" w:sz="0" w:val="none"/>
        </w:pBdr>
        <w:shd w:fill="fefefe" w:val="clear"/>
        <w:spacing w:after="300" w:line="240" w:lineRule="auto"/>
        <w:ind w:firstLine="566.9291338582675"/>
        <w:jc w:val="both"/>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sz w:val="29"/>
          <w:szCs w:val="29"/>
          <w:rtl w:val="0"/>
        </w:rPr>
        <w:t xml:space="preserve">3) Расчет процентов за пользование денежными средствами</w:t>
      </w:r>
    </w:p>
    <w:p w:rsidR="00000000" w:rsidDel="00000000" w:rsidP="00000000" w:rsidRDefault="00000000" w:rsidRPr="00000000" w14:paraId="00000026">
      <w:pPr>
        <w:keepLines w:val="1"/>
        <w:pBdr>
          <w:top w:color="auto" w:space="0" w:sz="0" w:val="none"/>
          <w:left w:color="auto" w:space="0" w:sz="0" w:val="none"/>
          <w:bottom w:color="auto" w:space="0" w:sz="0" w:val="none"/>
          <w:right w:color="auto" w:space="0" w:sz="0" w:val="none"/>
          <w:between w:color="auto" w:space="0" w:sz="0" w:val="none"/>
        </w:pBdr>
        <w:shd w:fill="fefefe" w:val="clear"/>
        <w:spacing w:after="300" w:line="240" w:lineRule="auto"/>
        <w:ind w:firstLine="566.9291338582675"/>
        <w:jc w:val="both"/>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sz w:val="29"/>
          <w:szCs w:val="29"/>
          <w:rtl w:val="0"/>
        </w:rPr>
        <w:t xml:space="preserve">4) Претензия от 23 мая 2020 г.</w:t>
      </w:r>
    </w:p>
    <w:p w:rsidR="00000000" w:rsidDel="00000000" w:rsidP="00000000" w:rsidRDefault="00000000" w:rsidRPr="00000000" w14:paraId="00000027">
      <w:pPr>
        <w:keepLines w:val="1"/>
        <w:pBdr>
          <w:top w:color="auto" w:space="0" w:sz="0" w:val="none"/>
          <w:left w:color="auto" w:space="0" w:sz="0" w:val="none"/>
          <w:bottom w:color="auto" w:space="0" w:sz="0" w:val="none"/>
          <w:right w:color="auto" w:space="0" w:sz="0" w:val="none"/>
          <w:between w:color="auto" w:space="0" w:sz="0" w:val="none"/>
        </w:pBdr>
        <w:shd w:fill="fefefe" w:val="clear"/>
        <w:spacing w:after="300" w:line="240" w:lineRule="auto"/>
        <w:ind w:firstLine="566.9291338582675"/>
        <w:jc w:val="both"/>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sz w:val="29"/>
          <w:szCs w:val="29"/>
          <w:rtl w:val="0"/>
        </w:rPr>
        <w:t xml:space="preserve">5) Почтовая квитанция (направление претензии).</w:t>
      </w:r>
    </w:p>
    <w:p w:rsidR="00000000" w:rsidDel="00000000" w:rsidP="00000000" w:rsidRDefault="00000000" w:rsidRPr="00000000" w14:paraId="00000028">
      <w:pPr>
        <w:keepLines w:val="1"/>
        <w:pBdr>
          <w:top w:color="auto" w:space="0" w:sz="0" w:val="none"/>
          <w:left w:color="auto" w:space="0" w:sz="0" w:val="none"/>
          <w:bottom w:color="auto" w:space="0" w:sz="0" w:val="none"/>
          <w:right w:color="auto" w:space="0" w:sz="0" w:val="none"/>
          <w:between w:color="auto" w:space="0" w:sz="0" w:val="none"/>
        </w:pBdr>
        <w:shd w:fill="fefefe" w:val="clear"/>
        <w:spacing w:after="300" w:line="240" w:lineRule="auto"/>
        <w:ind w:firstLine="566.9291338582675"/>
        <w:jc w:val="both"/>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sz w:val="29"/>
          <w:szCs w:val="29"/>
          <w:rtl w:val="0"/>
        </w:rPr>
        <w:t xml:space="preserve">6) Опись вложения (направление претензии).</w:t>
      </w:r>
    </w:p>
    <w:p w:rsidR="00000000" w:rsidDel="00000000" w:rsidP="00000000" w:rsidRDefault="00000000" w:rsidRPr="00000000" w14:paraId="00000029">
      <w:pPr>
        <w:keepLines w:val="1"/>
        <w:pBdr>
          <w:top w:color="auto" w:space="0" w:sz="0" w:val="none"/>
          <w:left w:color="auto" w:space="0" w:sz="0" w:val="none"/>
          <w:bottom w:color="auto" w:space="0" w:sz="0" w:val="none"/>
          <w:right w:color="auto" w:space="0" w:sz="0" w:val="none"/>
          <w:between w:color="auto" w:space="0" w:sz="0" w:val="none"/>
        </w:pBdr>
        <w:shd w:fill="fefefe" w:val="clear"/>
        <w:spacing w:after="300" w:line="240" w:lineRule="auto"/>
        <w:ind w:firstLine="566.9291338582675"/>
        <w:jc w:val="both"/>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sz w:val="29"/>
          <w:szCs w:val="29"/>
          <w:rtl w:val="0"/>
        </w:rPr>
        <w:t xml:space="preserve">14 февраля 2021 года А.В. Волкова</w:t>
      </w:r>
    </w:p>
    <w:p w:rsidR="00000000" w:rsidDel="00000000" w:rsidP="00000000" w:rsidRDefault="00000000" w:rsidRPr="00000000" w14:paraId="0000002A">
      <w:pPr>
        <w:keepLines w:val="1"/>
        <w:pBdr>
          <w:top w:color="auto" w:space="0" w:sz="0" w:val="none"/>
          <w:left w:color="auto" w:space="0" w:sz="0" w:val="none"/>
          <w:bottom w:color="auto" w:space="0" w:sz="0" w:val="none"/>
          <w:right w:color="auto" w:space="0" w:sz="0" w:val="none"/>
          <w:between w:color="auto" w:space="0" w:sz="0" w:val="none"/>
        </w:pBdr>
        <w:shd w:fill="fefefe" w:val="clear"/>
        <w:spacing w:after="300" w:line="240" w:lineRule="auto"/>
        <w:ind w:firstLine="566.9291338582675"/>
        <w:jc w:val="both"/>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sz w:val="29"/>
          <w:szCs w:val="29"/>
          <w:rtl w:val="0"/>
        </w:rPr>
        <w:t xml:space="preserve">Приложение №1.</w:t>
      </w:r>
    </w:p>
    <w:p w:rsidR="00000000" w:rsidDel="00000000" w:rsidP="00000000" w:rsidRDefault="00000000" w:rsidRPr="00000000" w14:paraId="0000002B">
      <w:pPr>
        <w:keepLines w:val="1"/>
        <w:pBdr>
          <w:top w:color="auto" w:space="0" w:sz="0" w:val="none"/>
          <w:left w:color="auto" w:space="0" w:sz="0" w:val="none"/>
          <w:bottom w:color="auto" w:space="0" w:sz="0" w:val="none"/>
          <w:right w:color="auto" w:space="0" w:sz="0" w:val="none"/>
          <w:between w:color="auto" w:space="0" w:sz="0" w:val="none"/>
        </w:pBdr>
        <w:shd w:fill="fefefe" w:val="clear"/>
        <w:spacing w:after="300" w:line="240" w:lineRule="auto"/>
        <w:rPr>
          <w:rFonts w:ascii="Times New Roman" w:cs="Times New Roman" w:eastAsia="Times New Roman" w:hAnsi="Times New Roman"/>
          <w:b w:val="1"/>
          <w:sz w:val="29"/>
          <w:szCs w:val="29"/>
        </w:rPr>
      </w:pPr>
      <w:r w:rsidDel="00000000" w:rsidR="00000000" w:rsidRPr="00000000">
        <w:rPr>
          <w:rFonts w:ascii="Times New Roman" w:cs="Times New Roman" w:eastAsia="Times New Roman" w:hAnsi="Times New Roman"/>
          <w:b w:val="1"/>
          <w:sz w:val="29"/>
          <w:szCs w:val="29"/>
          <w:rtl w:val="0"/>
        </w:rPr>
        <w:t xml:space="preserve">Расчет процентов за пользование денежными средствами по ст. 395 ГК РФ</w:t>
      </w:r>
    </w:p>
    <w:tbl>
      <w:tblPr>
        <w:tblStyle w:val="Table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91.7312335958009"/>
        <w:gridCol w:w="1283.6283464566932"/>
        <w:gridCol w:w="1296.999475065617"/>
        <w:gridCol w:w="655.1853018372706"/>
        <w:gridCol w:w="895.8656167979004"/>
        <w:gridCol w:w="1831.8446194225726"/>
        <w:gridCol w:w="1270.2572178477692"/>
        <w:tblGridChange w:id="0">
          <w:tblGrid>
            <w:gridCol w:w="1791.7312335958009"/>
            <w:gridCol w:w="1283.6283464566932"/>
            <w:gridCol w:w="1296.999475065617"/>
            <w:gridCol w:w="655.1853018372706"/>
            <w:gridCol w:w="895.8656167979004"/>
            <w:gridCol w:w="1831.8446194225726"/>
            <w:gridCol w:w="1270.2572178477692"/>
          </w:tblGrid>
        </w:tblGridChange>
      </w:tblGrid>
      <w:tr>
        <w:trPr>
          <w:cantSplit w:val="0"/>
          <w:trHeight w:val="364.98046875" w:hRule="atLeast"/>
          <w:tblHeader w:val="0"/>
        </w:trPr>
        <w:tc>
          <w:tcPr>
            <w:vMerge w:val="restart"/>
            <w:tcBorders>
              <w:top w:color="4b879c" w:space="0" w:sz="6" w:val="single"/>
              <w:left w:color="4b879c" w:space="0" w:sz="6" w:val="single"/>
              <w:bottom w:color="4b879c" w:space="0" w:sz="6" w:val="single"/>
              <w:right w:color="4b879c" w:space="0" w:sz="6" w:val="single"/>
            </w:tcBorders>
            <w:tcMar>
              <w:top w:w="80.0" w:type="dxa"/>
              <w:left w:w="80.0" w:type="dxa"/>
              <w:bottom w:w="80.0" w:type="dxa"/>
              <w:right w:w="80.0" w:type="dxa"/>
            </w:tcMar>
            <w:vAlign w:val="center"/>
          </w:tcPr>
          <w:p w:rsidR="00000000" w:rsidDel="00000000" w:rsidP="00000000" w:rsidRDefault="00000000" w:rsidRPr="00000000" w14:paraId="0000002C">
            <w:pPr>
              <w:keepLines w:val="1"/>
              <w:spacing w:after="3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Задолженность</w:t>
            </w:r>
          </w:p>
        </w:tc>
        <w:tc>
          <w:tcPr>
            <w:gridSpan w:val="3"/>
            <w:tcBorders>
              <w:top w:color="4b879c" w:space="0" w:sz="6" w:val="single"/>
              <w:left w:color="4b879c" w:space="0" w:sz="6" w:val="single"/>
              <w:bottom w:color="4b879c" w:space="0" w:sz="6" w:val="single"/>
              <w:right w:color="4b879c" w:space="0" w:sz="6" w:val="single"/>
            </w:tcBorders>
            <w:tcMar>
              <w:top w:w="80.0" w:type="dxa"/>
              <w:left w:w="80.0" w:type="dxa"/>
              <w:bottom w:w="80.0" w:type="dxa"/>
              <w:right w:w="80.0" w:type="dxa"/>
            </w:tcMar>
            <w:vAlign w:val="center"/>
          </w:tcPr>
          <w:p w:rsidR="00000000" w:rsidDel="00000000" w:rsidP="00000000" w:rsidRDefault="00000000" w:rsidRPr="00000000" w14:paraId="0000002D">
            <w:pPr>
              <w:keepLines w:val="1"/>
              <w:spacing w:after="3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Период просрочки</w:t>
            </w:r>
          </w:p>
        </w:tc>
        <w:tc>
          <w:tcPr>
            <w:vMerge w:val="restart"/>
            <w:tcBorders>
              <w:top w:color="4b879c" w:space="0" w:sz="6" w:val="single"/>
              <w:left w:color="4b879c" w:space="0" w:sz="6" w:val="single"/>
              <w:bottom w:color="4b879c" w:space="0" w:sz="6" w:val="single"/>
              <w:right w:color="4b879c"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30">
            <w:pPr>
              <w:keepLines w:val="1"/>
              <w:spacing w:after="3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Ставка</w:t>
            </w:r>
          </w:p>
        </w:tc>
        <w:tc>
          <w:tcPr>
            <w:vMerge w:val="restart"/>
            <w:tcBorders>
              <w:top w:color="4b879c" w:space="0" w:sz="6" w:val="single"/>
              <w:left w:color="4b879c" w:space="0" w:sz="6" w:val="single"/>
              <w:bottom w:color="4b879c" w:space="0" w:sz="6" w:val="single"/>
              <w:right w:color="4b879c"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31">
            <w:pPr>
              <w:keepLines w:val="1"/>
              <w:spacing w:after="3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Формула</w:t>
            </w:r>
          </w:p>
        </w:tc>
        <w:tc>
          <w:tcPr>
            <w:vMerge w:val="restart"/>
            <w:tcBorders>
              <w:top w:color="4b879c" w:space="0" w:sz="6" w:val="single"/>
              <w:left w:color="4b879c" w:space="0" w:sz="6" w:val="single"/>
              <w:bottom w:color="4b879c" w:space="0" w:sz="6" w:val="single"/>
              <w:right w:color="4b879c"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32">
            <w:pPr>
              <w:keepLines w:val="1"/>
              <w:spacing w:after="3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Проценты</w:t>
            </w:r>
          </w:p>
        </w:tc>
      </w:tr>
      <w:tr>
        <w:trPr>
          <w:cantSplit w:val="0"/>
          <w:trHeight w:val="439.98046875" w:hRule="atLeast"/>
          <w:tblHeader w:val="0"/>
        </w:trPr>
        <w:tc>
          <w:tcPr>
            <w:vMerge w:val="continue"/>
            <w:tcBorders>
              <w:bottom w:color="4b879c" w:space="0" w:sz="6" w:val="single"/>
              <w:right w:color="4b879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keepLines w:val="1"/>
              <w:spacing w:after="300" w:line="240" w:lineRule="auto"/>
              <w:rPr>
                <w:rFonts w:ascii="Times New Roman" w:cs="Times New Roman" w:eastAsia="Times New Roman" w:hAnsi="Times New Roman"/>
                <w:sz w:val="29"/>
                <w:szCs w:val="29"/>
              </w:rPr>
            </w:pPr>
            <w:r w:rsidDel="00000000" w:rsidR="00000000" w:rsidRPr="00000000">
              <w:rPr>
                <w:rtl w:val="0"/>
              </w:rPr>
            </w:r>
          </w:p>
        </w:tc>
        <w:tc>
          <w:tcPr>
            <w:tcBorders>
              <w:top w:color="4b879c" w:space="0" w:sz="6" w:val="single"/>
              <w:left w:color="4b879c" w:space="0" w:sz="6" w:val="single"/>
              <w:bottom w:color="4b879c" w:space="0" w:sz="6" w:val="single"/>
              <w:right w:color="4b879c"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34">
            <w:pPr>
              <w:keepLines w:val="1"/>
              <w:spacing w:after="3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w:t>
            </w:r>
          </w:p>
        </w:tc>
        <w:tc>
          <w:tcPr>
            <w:tcBorders>
              <w:top w:color="4b879c" w:space="0" w:sz="6" w:val="single"/>
              <w:left w:color="4b879c" w:space="0" w:sz="6" w:val="single"/>
              <w:bottom w:color="4b879c" w:space="0" w:sz="6" w:val="single"/>
              <w:right w:color="4b879c"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35">
            <w:pPr>
              <w:keepLines w:val="1"/>
              <w:spacing w:after="3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w:t>
            </w:r>
          </w:p>
        </w:tc>
        <w:tc>
          <w:tcPr>
            <w:tcBorders>
              <w:top w:color="4b879c" w:space="0" w:sz="6" w:val="single"/>
              <w:left w:color="4b879c" w:space="0" w:sz="6" w:val="single"/>
              <w:bottom w:color="4b879c" w:space="0" w:sz="6" w:val="single"/>
              <w:right w:color="4b879c"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36">
            <w:pPr>
              <w:keepLines w:val="1"/>
              <w:spacing w:after="3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дней</w:t>
            </w:r>
          </w:p>
        </w:tc>
        <w:tc>
          <w:tcPr>
            <w:vMerge w:val="continue"/>
            <w:tcBorders>
              <w:bottom w:color="4b879c" w:space="0" w:sz="6" w:val="single"/>
              <w:right w:color="4b879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keepLines w:val="1"/>
              <w:spacing w:after="300" w:line="240" w:lineRule="auto"/>
              <w:rPr>
                <w:rFonts w:ascii="Times New Roman" w:cs="Times New Roman" w:eastAsia="Times New Roman" w:hAnsi="Times New Roman"/>
                <w:sz w:val="29"/>
                <w:szCs w:val="29"/>
              </w:rPr>
            </w:pPr>
            <w:r w:rsidDel="00000000" w:rsidR="00000000" w:rsidRPr="00000000">
              <w:rPr>
                <w:rtl w:val="0"/>
              </w:rPr>
            </w:r>
          </w:p>
        </w:tc>
        <w:tc>
          <w:tcPr>
            <w:vMerge w:val="continue"/>
            <w:tcBorders>
              <w:bottom w:color="4b879c" w:space="0" w:sz="6" w:val="single"/>
              <w:right w:color="4b879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keepLines w:val="1"/>
              <w:spacing w:after="300" w:line="240" w:lineRule="auto"/>
              <w:rPr>
                <w:rFonts w:ascii="Times New Roman" w:cs="Times New Roman" w:eastAsia="Times New Roman" w:hAnsi="Times New Roman"/>
                <w:sz w:val="29"/>
                <w:szCs w:val="29"/>
              </w:rPr>
            </w:pPr>
            <w:r w:rsidDel="00000000" w:rsidR="00000000" w:rsidRPr="00000000">
              <w:rPr>
                <w:rtl w:val="0"/>
              </w:rPr>
            </w:r>
          </w:p>
        </w:tc>
        <w:tc>
          <w:tcPr>
            <w:vMerge w:val="continue"/>
            <w:tcBorders>
              <w:bottom w:color="4b879c" w:space="0" w:sz="6" w:val="single"/>
              <w:right w:color="4b879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keepLines w:val="1"/>
              <w:spacing w:after="300" w:line="240" w:lineRule="auto"/>
              <w:rPr>
                <w:rFonts w:ascii="Times New Roman" w:cs="Times New Roman" w:eastAsia="Times New Roman" w:hAnsi="Times New Roman"/>
                <w:sz w:val="29"/>
                <w:szCs w:val="29"/>
              </w:rPr>
            </w:pPr>
            <w:r w:rsidDel="00000000" w:rsidR="00000000" w:rsidRPr="00000000">
              <w:rPr>
                <w:rtl w:val="0"/>
              </w:rPr>
            </w:r>
          </w:p>
        </w:tc>
      </w:tr>
      <w:tr>
        <w:trPr>
          <w:cantSplit w:val="0"/>
          <w:trHeight w:val="825" w:hRule="atLeast"/>
          <w:tblHeader w:val="0"/>
        </w:trPr>
        <w:tc>
          <w:tcPr>
            <w:tcBorders>
              <w:top w:color="4b879c" w:space="0" w:sz="6" w:val="single"/>
              <w:left w:color="4b879c" w:space="0" w:sz="6" w:val="single"/>
              <w:bottom w:color="4b879c" w:space="0" w:sz="6" w:val="single"/>
              <w:right w:color="4b879c"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3A">
            <w:pPr>
              <w:keepLines w:val="1"/>
              <w:spacing w:after="3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210 000,00 р.</w:t>
            </w:r>
          </w:p>
        </w:tc>
        <w:tc>
          <w:tcPr>
            <w:tcBorders>
              <w:top w:color="4b879c" w:space="0" w:sz="6" w:val="single"/>
              <w:left w:color="4b879c" w:space="0" w:sz="6" w:val="single"/>
              <w:bottom w:color="4b879c" w:space="0" w:sz="6" w:val="single"/>
              <w:right w:color="4b879c"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3B">
            <w:pPr>
              <w:keepLines w:val="1"/>
              <w:spacing w:after="3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27.12.2019</w:t>
            </w:r>
          </w:p>
        </w:tc>
        <w:tc>
          <w:tcPr>
            <w:tcBorders>
              <w:top w:color="4b879c" w:space="0" w:sz="6" w:val="single"/>
              <w:left w:color="4b879c" w:space="0" w:sz="6" w:val="single"/>
              <w:bottom w:color="4b879c" w:space="0" w:sz="6" w:val="single"/>
              <w:right w:color="4b879c"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3C">
            <w:pPr>
              <w:keepLines w:val="1"/>
              <w:spacing w:after="3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31.12.2019</w:t>
            </w:r>
          </w:p>
        </w:tc>
        <w:tc>
          <w:tcPr>
            <w:tcBorders>
              <w:top w:color="4b879c" w:space="0" w:sz="6" w:val="single"/>
              <w:left w:color="4b879c" w:space="0" w:sz="6" w:val="single"/>
              <w:bottom w:color="4b879c" w:space="0" w:sz="6" w:val="single"/>
              <w:right w:color="4b879c"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3D">
            <w:pPr>
              <w:keepLines w:val="1"/>
              <w:spacing w:after="3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tcBorders>
              <w:top w:color="4b879c" w:space="0" w:sz="6" w:val="single"/>
              <w:left w:color="4b879c" w:space="0" w:sz="6" w:val="single"/>
              <w:bottom w:color="4b879c" w:space="0" w:sz="6" w:val="single"/>
              <w:right w:color="4b879c"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3E">
            <w:pPr>
              <w:keepLines w:val="1"/>
              <w:spacing w:after="3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10,00</w:t>
            </w:r>
          </w:p>
        </w:tc>
        <w:tc>
          <w:tcPr>
            <w:tcBorders>
              <w:top w:color="4b879c" w:space="0" w:sz="6" w:val="single"/>
              <w:left w:color="4b879c" w:space="0" w:sz="6" w:val="single"/>
              <w:bottom w:color="4b879c" w:space="0" w:sz="6" w:val="single"/>
              <w:right w:color="4b879c"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3F">
            <w:pPr>
              <w:keepLines w:val="1"/>
              <w:spacing w:after="3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210 000,00 × 5 × 10% / 366</w:t>
            </w:r>
          </w:p>
        </w:tc>
        <w:tc>
          <w:tcPr>
            <w:tcBorders>
              <w:top w:color="4b879c" w:space="0" w:sz="6" w:val="single"/>
              <w:left w:color="4b879c" w:space="0" w:sz="6" w:val="single"/>
              <w:bottom w:color="4b879c" w:space="0" w:sz="6" w:val="single"/>
              <w:right w:color="4b879c"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40">
            <w:pPr>
              <w:keepLines w:val="1"/>
              <w:spacing w:after="3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286,89 р.</w:t>
            </w:r>
          </w:p>
        </w:tc>
      </w:tr>
      <w:tr>
        <w:trPr>
          <w:cantSplit w:val="0"/>
          <w:trHeight w:val="825" w:hRule="atLeast"/>
          <w:tblHeader w:val="0"/>
        </w:trPr>
        <w:tc>
          <w:tcPr>
            <w:tcBorders>
              <w:top w:color="4b879c" w:space="0" w:sz="6" w:val="single"/>
              <w:left w:color="4b879c" w:space="0" w:sz="6" w:val="single"/>
              <w:bottom w:color="4b879c" w:space="0" w:sz="6" w:val="single"/>
              <w:right w:color="4b879c"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41">
            <w:pPr>
              <w:keepLines w:val="1"/>
              <w:spacing w:after="3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210 000,00 р.</w:t>
            </w:r>
          </w:p>
        </w:tc>
        <w:tc>
          <w:tcPr>
            <w:tcBorders>
              <w:top w:color="4b879c" w:space="0" w:sz="6" w:val="single"/>
              <w:left w:color="4b879c" w:space="0" w:sz="6" w:val="single"/>
              <w:bottom w:color="4b879c" w:space="0" w:sz="6" w:val="single"/>
              <w:right w:color="4b879c"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42">
            <w:pPr>
              <w:keepLines w:val="1"/>
              <w:spacing w:after="3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01.01.2020</w:t>
            </w:r>
          </w:p>
        </w:tc>
        <w:tc>
          <w:tcPr>
            <w:tcBorders>
              <w:top w:color="4b879c" w:space="0" w:sz="6" w:val="single"/>
              <w:left w:color="4b879c" w:space="0" w:sz="6" w:val="single"/>
              <w:bottom w:color="4b879c" w:space="0" w:sz="6" w:val="single"/>
              <w:right w:color="4b879c"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43">
            <w:pPr>
              <w:keepLines w:val="1"/>
              <w:spacing w:after="3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26.03.2020</w:t>
            </w:r>
          </w:p>
        </w:tc>
        <w:tc>
          <w:tcPr>
            <w:tcBorders>
              <w:top w:color="4b879c" w:space="0" w:sz="6" w:val="single"/>
              <w:left w:color="4b879c" w:space="0" w:sz="6" w:val="single"/>
              <w:bottom w:color="4b879c" w:space="0" w:sz="6" w:val="single"/>
              <w:right w:color="4b879c"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44">
            <w:pPr>
              <w:keepLines w:val="1"/>
              <w:spacing w:after="3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85</w:t>
            </w:r>
          </w:p>
        </w:tc>
        <w:tc>
          <w:tcPr>
            <w:tcBorders>
              <w:top w:color="4b879c" w:space="0" w:sz="6" w:val="single"/>
              <w:left w:color="4b879c" w:space="0" w:sz="6" w:val="single"/>
              <w:bottom w:color="4b879c" w:space="0" w:sz="6" w:val="single"/>
              <w:right w:color="4b879c"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45">
            <w:pPr>
              <w:keepLines w:val="1"/>
              <w:spacing w:after="3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10,00</w:t>
            </w:r>
          </w:p>
        </w:tc>
        <w:tc>
          <w:tcPr>
            <w:tcBorders>
              <w:top w:color="4b879c" w:space="0" w:sz="6" w:val="single"/>
              <w:left w:color="4b879c" w:space="0" w:sz="6" w:val="single"/>
              <w:bottom w:color="4b879c" w:space="0" w:sz="6" w:val="single"/>
              <w:right w:color="4b879c"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46">
            <w:pPr>
              <w:keepLines w:val="1"/>
              <w:spacing w:after="3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210 000,00 × 85 × 10% / 365</w:t>
            </w:r>
          </w:p>
        </w:tc>
        <w:tc>
          <w:tcPr>
            <w:tcBorders>
              <w:top w:color="4b879c" w:space="0" w:sz="6" w:val="single"/>
              <w:left w:color="4b879c" w:space="0" w:sz="6" w:val="single"/>
              <w:bottom w:color="4b879c" w:space="0" w:sz="6" w:val="single"/>
              <w:right w:color="4b879c"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47">
            <w:pPr>
              <w:keepLines w:val="1"/>
              <w:spacing w:after="3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4 890,41 р.</w:t>
            </w:r>
          </w:p>
        </w:tc>
      </w:tr>
      <w:tr>
        <w:trPr>
          <w:cantSplit w:val="0"/>
          <w:trHeight w:val="825" w:hRule="atLeast"/>
          <w:tblHeader w:val="0"/>
        </w:trPr>
        <w:tc>
          <w:tcPr>
            <w:tcBorders>
              <w:top w:color="4b879c" w:space="0" w:sz="6" w:val="single"/>
              <w:left w:color="4b879c" w:space="0" w:sz="6" w:val="single"/>
              <w:bottom w:color="4b879c" w:space="0" w:sz="6" w:val="single"/>
              <w:right w:color="4b879c"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48">
            <w:pPr>
              <w:keepLines w:val="1"/>
              <w:spacing w:after="3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210 000,00 р.</w:t>
            </w:r>
          </w:p>
        </w:tc>
        <w:tc>
          <w:tcPr>
            <w:tcBorders>
              <w:top w:color="4b879c" w:space="0" w:sz="6" w:val="single"/>
              <w:left w:color="4b879c" w:space="0" w:sz="6" w:val="single"/>
              <w:bottom w:color="4b879c" w:space="0" w:sz="6" w:val="single"/>
              <w:right w:color="4b879c"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49">
            <w:pPr>
              <w:keepLines w:val="1"/>
              <w:spacing w:after="3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27.03.2020</w:t>
            </w:r>
          </w:p>
        </w:tc>
        <w:tc>
          <w:tcPr>
            <w:tcBorders>
              <w:top w:color="4b879c" w:space="0" w:sz="6" w:val="single"/>
              <w:left w:color="4b879c" w:space="0" w:sz="6" w:val="single"/>
              <w:bottom w:color="4b879c" w:space="0" w:sz="6" w:val="single"/>
              <w:right w:color="4b879c"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4A">
            <w:pPr>
              <w:keepLines w:val="1"/>
              <w:spacing w:after="3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01.05.2020</w:t>
            </w:r>
          </w:p>
        </w:tc>
        <w:tc>
          <w:tcPr>
            <w:tcBorders>
              <w:top w:color="4b879c" w:space="0" w:sz="6" w:val="single"/>
              <w:left w:color="4b879c" w:space="0" w:sz="6" w:val="single"/>
              <w:bottom w:color="4b879c" w:space="0" w:sz="6" w:val="single"/>
              <w:right w:color="4b879c"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4B">
            <w:pPr>
              <w:keepLines w:val="1"/>
              <w:spacing w:after="3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36</w:t>
            </w:r>
          </w:p>
        </w:tc>
        <w:tc>
          <w:tcPr>
            <w:tcBorders>
              <w:top w:color="4b879c" w:space="0" w:sz="6" w:val="single"/>
              <w:left w:color="4b879c" w:space="0" w:sz="6" w:val="single"/>
              <w:bottom w:color="4b879c" w:space="0" w:sz="6" w:val="single"/>
              <w:right w:color="4b879c"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4C">
            <w:pPr>
              <w:keepLines w:val="1"/>
              <w:spacing w:after="3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9,75</w:t>
            </w:r>
          </w:p>
        </w:tc>
        <w:tc>
          <w:tcPr>
            <w:tcBorders>
              <w:top w:color="4b879c" w:space="0" w:sz="6" w:val="single"/>
              <w:left w:color="4b879c" w:space="0" w:sz="6" w:val="single"/>
              <w:bottom w:color="4b879c" w:space="0" w:sz="6" w:val="single"/>
              <w:right w:color="4b879c"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4D">
            <w:pPr>
              <w:keepLines w:val="1"/>
              <w:spacing w:after="3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210 000,00 × 36 × 9.75% / 365</w:t>
            </w:r>
          </w:p>
        </w:tc>
        <w:tc>
          <w:tcPr>
            <w:tcBorders>
              <w:top w:color="4b879c" w:space="0" w:sz="6" w:val="single"/>
              <w:left w:color="4b879c" w:space="0" w:sz="6" w:val="single"/>
              <w:bottom w:color="4b879c" w:space="0" w:sz="6" w:val="single"/>
              <w:right w:color="4b879c"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4E">
            <w:pPr>
              <w:keepLines w:val="1"/>
              <w:spacing w:after="3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2 019,45 р.</w:t>
            </w:r>
          </w:p>
        </w:tc>
      </w:tr>
      <w:tr>
        <w:trPr>
          <w:cantSplit w:val="0"/>
          <w:trHeight w:val="825" w:hRule="atLeast"/>
          <w:tblHeader w:val="0"/>
        </w:trPr>
        <w:tc>
          <w:tcPr>
            <w:tcBorders>
              <w:top w:color="4b879c" w:space="0" w:sz="6" w:val="single"/>
              <w:left w:color="4b879c" w:space="0" w:sz="6" w:val="single"/>
              <w:bottom w:color="4b879c" w:space="0" w:sz="6" w:val="single"/>
              <w:right w:color="4b879c"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4F">
            <w:pPr>
              <w:keepLines w:val="1"/>
              <w:spacing w:after="3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210 000,00 р.</w:t>
            </w:r>
          </w:p>
        </w:tc>
        <w:tc>
          <w:tcPr>
            <w:tcBorders>
              <w:top w:color="4b879c" w:space="0" w:sz="6" w:val="single"/>
              <w:left w:color="4b879c" w:space="0" w:sz="6" w:val="single"/>
              <w:bottom w:color="4b879c" w:space="0" w:sz="6" w:val="single"/>
              <w:right w:color="4b879c"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50">
            <w:pPr>
              <w:keepLines w:val="1"/>
              <w:spacing w:after="3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02.05.2020</w:t>
            </w:r>
          </w:p>
        </w:tc>
        <w:tc>
          <w:tcPr>
            <w:tcBorders>
              <w:top w:color="4b879c" w:space="0" w:sz="6" w:val="single"/>
              <w:left w:color="4b879c" w:space="0" w:sz="6" w:val="single"/>
              <w:bottom w:color="4b879c" w:space="0" w:sz="6" w:val="single"/>
              <w:right w:color="4b879c"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51">
            <w:pPr>
              <w:keepLines w:val="1"/>
              <w:spacing w:after="3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14.06.2020</w:t>
            </w:r>
          </w:p>
        </w:tc>
        <w:tc>
          <w:tcPr>
            <w:tcBorders>
              <w:top w:color="4b879c" w:space="0" w:sz="6" w:val="single"/>
              <w:left w:color="4b879c" w:space="0" w:sz="6" w:val="single"/>
              <w:bottom w:color="4b879c" w:space="0" w:sz="6" w:val="single"/>
              <w:right w:color="4b879c"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52">
            <w:pPr>
              <w:keepLines w:val="1"/>
              <w:spacing w:after="3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44</w:t>
            </w:r>
          </w:p>
        </w:tc>
        <w:tc>
          <w:tcPr>
            <w:tcBorders>
              <w:top w:color="4b879c" w:space="0" w:sz="6" w:val="single"/>
              <w:left w:color="4b879c" w:space="0" w:sz="6" w:val="single"/>
              <w:bottom w:color="4b879c" w:space="0" w:sz="6" w:val="single"/>
              <w:right w:color="4b879c"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53">
            <w:pPr>
              <w:keepLines w:val="1"/>
              <w:spacing w:after="3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9,25</w:t>
            </w:r>
          </w:p>
        </w:tc>
        <w:tc>
          <w:tcPr>
            <w:tcBorders>
              <w:top w:color="4b879c" w:space="0" w:sz="6" w:val="single"/>
              <w:left w:color="4b879c" w:space="0" w:sz="6" w:val="single"/>
              <w:bottom w:color="4b879c" w:space="0" w:sz="6" w:val="single"/>
              <w:right w:color="4b879c"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54">
            <w:pPr>
              <w:keepLines w:val="1"/>
              <w:spacing w:after="3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210 000,00 × 44 × 9.25% / 365</w:t>
            </w:r>
          </w:p>
        </w:tc>
        <w:tc>
          <w:tcPr>
            <w:tcBorders>
              <w:top w:color="4b879c" w:space="0" w:sz="6" w:val="single"/>
              <w:left w:color="4b879c" w:space="0" w:sz="6" w:val="single"/>
              <w:bottom w:color="4b879c" w:space="0" w:sz="6" w:val="single"/>
              <w:right w:color="4b879c"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55">
            <w:pPr>
              <w:keepLines w:val="1"/>
              <w:spacing w:after="3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2 341,64 р.</w:t>
            </w:r>
          </w:p>
        </w:tc>
      </w:tr>
      <w:tr>
        <w:trPr>
          <w:cantSplit w:val="0"/>
          <w:trHeight w:val="495" w:hRule="atLeast"/>
          <w:tblHeader w:val="0"/>
        </w:trPr>
        <w:tc>
          <w:tcPr>
            <w:gridSpan w:val="7"/>
            <w:tcBorders>
              <w:top w:color="4b879c" w:space="0" w:sz="6" w:val="single"/>
              <w:left w:color="4b879c" w:space="0" w:sz="6" w:val="single"/>
              <w:bottom w:color="4b879c" w:space="0" w:sz="6" w:val="single"/>
              <w:right w:color="4b879c"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56">
            <w:pPr>
              <w:keepLines w:val="1"/>
              <w:spacing w:after="3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Сумма основного долга: 210 000,00 р.</w:t>
            </w:r>
          </w:p>
        </w:tc>
      </w:tr>
      <w:tr>
        <w:trPr>
          <w:cantSplit w:val="0"/>
          <w:trHeight w:val="495" w:hRule="atLeast"/>
          <w:tblHeader w:val="0"/>
        </w:trPr>
        <w:tc>
          <w:tcPr>
            <w:gridSpan w:val="7"/>
            <w:tcBorders>
              <w:top w:color="4b879c" w:space="0" w:sz="6" w:val="single"/>
              <w:left w:color="4b879c" w:space="0" w:sz="6" w:val="single"/>
              <w:bottom w:color="4b879c" w:space="0" w:sz="6" w:val="single"/>
              <w:right w:color="4b879c"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5D">
            <w:pPr>
              <w:keepLines w:val="1"/>
              <w:spacing w:after="3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Сумма процентов: 9 538,39 р.</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tc>
      </w:tr>
    </w:tbl>
    <w:p w:rsidR="00000000" w:rsidDel="00000000" w:rsidP="00000000" w:rsidRDefault="00000000" w:rsidRPr="00000000" w14:paraId="00000064">
      <w:pPr>
        <w:keepLines w:val="1"/>
        <w:pBdr>
          <w:top w:color="auto" w:space="0" w:sz="0" w:val="none"/>
          <w:left w:color="auto" w:space="0" w:sz="0" w:val="none"/>
          <w:bottom w:color="auto" w:space="0" w:sz="0" w:val="none"/>
          <w:right w:color="auto" w:space="0" w:sz="0" w:val="none"/>
          <w:between w:color="auto" w:space="0" w:sz="0" w:val="none"/>
        </w:pBdr>
        <w:shd w:fill="fefefe" w:val="clear"/>
        <w:spacing w:after="300" w:line="240" w:lineRule="auto"/>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b w:val="1"/>
          <w:sz w:val="29"/>
          <w:szCs w:val="29"/>
          <w:rtl w:val="0"/>
        </w:rPr>
        <w:t xml:space="preserve">Итого: </w:t>
      </w:r>
      <w:r w:rsidDel="00000000" w:rsidR="00000000" w:rsidRPr="00000000">
        <w:rPr>
          <w:rFonts w:ascii="Times New Roman" w:cs="Times New Roman" w:eastAsia="Times New Roman" w:hAnsi="Times New Roman"/>
          <w:sz w:val="29"/>
          <w:szCs w:val="29"/>
          <w:rtl w:val="0"/>
        </w:rPr>
        <w:t xml:space="preserve">Размер процентов за пользование денежными средствами составляет 9 538 рублей 39 копеек.</w:t>
      </w:r>
    </w:p>
    <w:p w:rsidR="00000000" w:rsidDel="00000000" w:rsidP="00000000" w:rsidRDefault="00000000" w:rsidRPr="00000000" w14:paraId="00000065">
      <w:pPr>
        <w:keepLines w:val="1"/>
        <w:pBdr>
          <w:top w:color="auto" w:space="0" w:sz="0" w:val="none"/>
          <w:left w:color="auto" w:space="0" w:sz="0" w:val="none"/>
          <w:bottom w:color="auto" w:space="0" w:sz="0" w:val="none"/>
          <w:right w:color="auto" w:space="0" w:sz="0" w:val="none"/>
          <w:between w:color="auto" w:space="0" w:sz="0" w:val="none"/>
        </w:pBdr>
        <w:shd w:fill="fefefe" w:val="clear"/>
        <w:spacing w:after="300" w:line="240" w:lineRule="auto"/>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sz w:val="29"/>
          <w:szCs w:val="29"/>
          <w:rtl w:val="0"/>
        </w:rPr>
        <w:t xml:space="preserve">14 февраля 2021 года А.В. Волкова</w:t>
      </w:r>
    </w:p>
    <w:p w:rsidR="00000000" w:rsidDel="00000000" w:rsidP="00000000" w:rsidRDefault="00000000" w:rsidRPr="00000000" w14:paraId="00000066">
      <w:pPr>
        <w:keepLines w:val="1"/>
        <w:spacing w:line="240" w:lineRule="auto"/>
        <w:rPr>
          <w:rFonts w:ascii="Times New Roman" w:cs="Times New Roman" w:eastAsia="Times New Roman" w:hAnsi="Times New Roman"/>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efefe"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ud-isk.ru/prav-potr/kak-vernut-dengi-za-mobilnyj-telef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